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CE" w:rsidRDefault="007A24CE" w:rsidP="00441066">
      <w:r>
        <w:separator/>
      </w:r>
    </w:p>
  </w:endnote>
  <w:endnote w:type="continuationSeparator" w:id="0">
    <w:p w:rsidR="007A24CE" w:rsidRDefault="007A24CE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7A24CE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CE" w:rsidRDefault="007A24CE" w:rsidP="00441066">
      <w:r>
        <w:separator/>
      </w:r>
    </w:p>
  </w:footnote>
  <w:footnote w:type="continuationSeparator" w:id="0">
    <w:p w:rsidR="007A24CE" w:rsidRDefault="007A24CE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667101"/>
    <w:rsid w:val="007A24CE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ED530F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2024-03-26T17:01:00Z</dcterms:modified>
</cp:coreProperties>
</file>